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B66" w14:textId="77777777" w:rsidR="00D66D1F" w:rsidRDefault="00D66D1F"/>
    <w:p w14:paraId="4B866EA3" w14:textId="77777777" w:rsidR="00270AA2" w:rsidRDefault="00D66D1F" w:rsidP="00A84D71">
      <w:pPr>
        <w:spacing w:line="259" w:lineRule="auto"/>
        <w:ind w:left="4"/>
        <w:jc w:val="center"/>
        <w:rPr>
          <w:rFonts w:eastAsia="Verdana" w:cs="Verdana"/>
          <w:b/>
          <w:color w:val="000000"/>
          <w:sz w:val="24"/>
          <w:lang w:eastAsia="da-DK"/>
        </w:rPr>
      </w:pPr>
      <w:r w:rsidRPr="00D66D1F">
        <w:rPr>
          <w:rFonts w:eastAsia="Verdana" w:cs="Verdana"/>
          <w:color w:val="000000"/>
          <w:lang w:eastAsia="da-DK"/>
        </w:rPr>
        <w:t xml:space="preserve"> </w:t>
      </w:r>
      <w:r w:rsidR="00A84D71" w:rsidRPr="00A84D71">
        <w:rPr>
          <w:rFonts w:eastAsia="Verdana" w:cs="Verdana"/>
          <w:b/>
          <w:color w:val="000000"/>
          <w:sz w:val="24"/>
          <w:lang w:eastAsia="da-DK"/>
        </w:rPr>
        <w:t>BEHANDLING MED SUGETABLET FENTANYL 800</w:t>
      </w:r>
      <w:r w:rsidR="00A84D71">
        <w:rPr>
          <w:rFonts w:eastAsia="Verdana" w:cs="Verdana"/>
          <w:b/>
          <w:color w:val="000000"/>
          <w:sz w:val="24"/>
          <w:lang w:eastAsia="da-DK"/>
        </w:rPr>
        <w:t xml:space="preserve"> MIKROGRAM</w:t>
      </w:r>
      <w:r w:rsidR="00A84D71" w:rsidRPr="00A84D71">
        <w:rPr>
          <w:rFonts w:eastAsia="Verdana" w:cs="Verdana"/>
          <w:b/>
          <w:color w:val="000000"/>
          <w:sz w:val="24"/>
          <w:lang w:eastAsia="da-DK"/>
        </w:rPr>
        <w:t xml:space="preserve">, </w:t>
      </w:r>
    </w:p>
    <w:p w14:paraId="7F4F4119" w14:textId="77777777" w:rsidR="00A84D71" w:rsidRPr="00A84D71" w:rsidRDefault="00A84D71" w:rsidP="00A84D71">
      <w:pPr>
        <w:spacing w:line="259" w:lineRule="auto"/>
        <w:ind w:left="4"/>
        <w:jc w:val="center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sz w:val="24"/>
          <w:lang w:eastAsia="da-DK"/>
        </w:rPr>
        <w:t>ALL SERVICE MEMBER</w:t>
      </w:r>
      <w:r w:rsidR="00B55098">
        <w:rPr>
          <w:rFonts w:eastAsia="Verdana" w:cs="Verdana"/>
          <w:b/>
          <w:color w:val="000000"/>
          <w:sz w:val="24"/>
          <w:lang w:eastAsia="da-DK"/>
        </w:rPr>
        <w:t>S</w:t>
      </w:r>
    </w:p>
    <w:p w14:paraId="1E814CC7" w14:textId="77777777" w:rsidR="00A84D71" w:rsidRDefault="00A84D71" w:rsidP="00A84D71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 </w:t>
      </w:r>
    </w:p>
    <w:p w14:paraId="616B28F6" w14:textId="77777777" w:rsidR="00A84D71" w:rsidRPr="00A84D71" w:rsidRDefault="00A84D71" w:rsidP="00A84D71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670F47D2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In</w:t>
      </w:r>
      <w:r w:rsidR="00B55098">
        <w:rPr>
          <w:rFonts w:eastAsia="Verdana" w:cs="Verdana"/>
          <w:color w:val="000000"/>
          <w:lang w:eastAsia="da-DK"/>
        </w:rPr>
        <w:t>struksen bemyndiger personel i F</w:t>
      </w:r>
      <w:r w:rsidRPr="00A84D71">
        <w:rPr>
          <w:rFonts w:eastAsia="Verdana" w:cs="Verdana"/>
          <w:color w:val="000000"/>
          <w:lang w:eastAsia="da-DK"/>
        </w:rPr>
        <w:t xml:space="preserve">orsvaret, der har gyldigt Q i </w:t>
      </w:r>
      <w:r w:rsidR="00FC515F">
        <w:rPr>
          <w:rFonts w:eastAsia="Verdana" w:cs="Verdana"/>
          <w:color w:val="000000"/>
          <w:lang w:eastAsia="da-DK"/>
        </w:rPr>
        <w:t xml:space="preserve">uddannelsen </w:t>
      </w:r>
      <w:r w:rsidRPr="00A84D71">
        <w:rPr>
          <w:rFonts w:eastAsia="Verdana" w:cs="Verdana"/>
          <w:color w:val="000000"/>
          <w:lang w:eastAsia="da-DK"/>
        </w:rPr>
        <w:t>Tactical Combat Casualty Care</w:t>
      </w:r>
      <w:r w:rsidR="007A7AE4">
        <w:rPr>
          <w:rFonts w:eastAsia="Verdana" w:cs="Verdana"/>
          <w:color w:val="000000"/>
          <w:lang w:eastAsia="da-DK"/>
        </w:rPr>
        <w:t xml:space="preserve"> (TCCC)</w:t>
      </w:r>
      <w:r w:rsidRPr="00A84D71">
        <w:rPr>
          <w:rFonts w:eastAsia="Verdana" w:cs="Verdana"/>
          <w:color w:val="000000"/>
          <w:lang w:eastAsia="da-DK"/>
        </w:rPr>
        <w:t>, All Service Member</w:t>
      </w:r>
      <w:r w:rsidR="00B55098">
        <w:rPr>
          <w:rFonts w:eastAsia="Verdana" w:cs="Verdana"/>
          <w:color w:val="000000"/>
          <w:lang w:eastAsia="da-DK"/>
        </w:rPr>
        <w:t>s</w:t>
      </w:r>
      <w:r w:rsidRPr="00A84D71">
        <w:rPr>
          <w:rFonts w:eastAsia="Verdana" w:cs="Verdana"/>
          <w:color w:val="000000"/>
          <w:lang w:eastAsia="da-DK"/>
        </w:rPr>
        <w:t xml:space="preserve"> (ASM), til </w:t>
      </w:r>
      <w:r w:rsidR="00EA4E3C">
        <w:rPr>
          <w:rFonts w:eastAsia="Verdana" w:cs="Verdana"/>
          <w:color w:val="000000"/>
          <w:lang w:eastAsia="da-DK"/>
        </w:rPr>
        <w:t xml:space="preserve">at behandle </w:t>
      </w:r>
      <w:r w:rsidR="00B55098">
        <w:rPr>
          <w:rFonts w:eastAsia="Verdana" w:cs="Verdana"/>
          <w:color w:val="000000"/>
          <w:lang w:eastAsia="da-DK"/>
        </w:rPr>
        <w:t xml:space="preserve">med </w:t>
      </w:r>
      <w:r w:rsidRPr="00A84D71">
        <w:rPr>
          <w:rFonts w:eastAsia="Verdana" w:cs="Verdana"/>
          <w:color w:val="000000"/>
          <w:lang w:eastAsia="da-DK"/>
        </w:rPr>
        <w:t>én sugetablet</w:t>
      </w:r>
      <w:r w:rsidR="00B55098">
        <w:rPr>
          <w:rFonts w:eastAsia="Verdana" w:cs="Verdana"/>
          <w:color w:val="000000"/>
          <w:lang w:eastAsia="da-DK"/>
        </w:rPr>
        <w:t xml:space="preserve"> Fentanyl på</w:t>
      </w:r>
      <w:r w:rsidRPr="00A84D71">
        <w:rPr>
          <w:rFonts w:eastAsia="Verdana" w:cs="Verdana"/>
          <w:color w:val="000000"/>
          <w:lang w:eastAsia="da-DK"/>
        </w:rPr>
        <w:t xml:space="preserve"> 800 mikrogram som makkerhjælp og under særlige omstændigheder som selvhjælp</w:t>
      </w:r>
      <w:r w:rsidR="00B55098">
        <w:rPr>
          <w:rFonts w:eastAsia="Verdana" w:cs="Verdana"/>
          <w:color w:val="000000"/>
          <w:lang w:eastAsia="da-DK"/>
        </w:rPr>
        <w:t xml:space="preserve"> under fasen </w:t>
      </w:r>
      <w:r>
        <w:rPr>
          <w:rFonts w:eastAsia="Verdana" w:cs="Verdana"/>
          <w:color w:val="000000"/>
          <w:lang w:eastAsia="da-DK"/>
        </w:rPr>
        <w:t>Tactical Field Care</w:t>
      </w:r>
      <w:r w:rsidR="00B55098">
        <w:rPr>
          <w:rFonts w:eastAsia="Verdana" w:cs="Verdana"/>
          <w:color w:val="000000"/>
          <w:lang w:eastAsia="da-DK"/>
        </w:rPr>
        <w:t xml:space="preserve"> (TFC)</w:t>
      </w:r>
      <w:r>
        <w:rPr>
          <w:rFonts w:eastAsia="Verdana" w:cs="Verdana"/>
          <w:color w:val="000000"/>
          <w:lang w:eastAsia="da-DK"/>
        </w:rPr>
        <w:t>.</w:t>
      </w:r>
      <w:r w:rsidR="00B55098">
        <w:rPr>
          <w:rFonts w:eastAsia="Verdana" w:cs="Verdana"/>
          <w:color w:val="000000"/>
          <w:lang w:eastAsia="da-DK"/>
        </w:rPr>
        <w:t xml:space="preserve"> Formålet er </w:t>
      </w:r>
      <w:r w:rsidRPr="00A84D71">
        <w:rPr>
          <w:rFonts w:eastAsia="Verdana" w:cs="Verdana"/>
          <w:color w:val="000000"/>
          <w:lang w:eastAsia="da-DK"/>
        </w:rPr>
        <w:t xml:space="preserve">at sikre tidlig behandling af </w:t>
      </w:r>
      <w:r w:rsidR="002D194A">
        <w:rPr>
          <w:rFonts w:eastAsia="Verdana" w:cs="Verdana"/>
          <w:color w:val="000000"/>
          <w:lang w:eastAsia="da-DK"/>
        </w:rPr>
        <w:t xml:space="preserve">uudholdelige smerter. </w:t>
      </w:r>
    </w:p>
    <w:p w14:paraId="5043370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DA3DFEA" w14:textId="1E5E0617" w:rsidR="00A84D71" w:rsidRPr="00D84E9D" w:rsidRDefault="00D84E9D" w:rsidP="00D84E9D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O</w:t>
      </w:r>
      <w:r>
        <w:rPr>
          <w:rFonts w:eastAsia="Verdana" w:cs="Verdana"/>
          <w:b/>
          <w:color w:val="000000"/>
          <w:lang w:eastAsia="da-DK"/>
        </w:rPr>
        <w:t>PGAVEAFGRÆNSNING</w:t>
      </w:r>
      <w:r w:rsidRPr="00C00CC2">
        <w:rPr>
          <w:rFonts w:eastAsia="Verdana" w:cs="Verdana"/>
          <w:b/>
          <w:color w:val="000000"/>
          <w:lang w:eastAsia="da-DK"/>
        </w:rPr>
        <w:t xml:space="preserve"> </w:t>
      </w:r>
    </w:p>
    <w:p w14:paraId="52D1E6F4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 xml:space="preserve">kræver delegering fra en læge. </w:t>
      </w:r>
    </w:p>
    <w:p w14:paraId="5995FB67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med</w:t>
      </w:r>
      <w:r w:rsidR="009266C4">
        <w:rPr>
          <w:rFonts w:eastAsia="Verdana" w:cs="Verdana"/>
          <w:color w:val="000000"/>
          <w:lang w:eastAsia="da-DK"/>
        </w:rPr>
        <w:t xml:space="preserve"> sugetablet Fentanyl 800 mikrogram for ASM</w:t>
      </w:r>
      <w:r>
        <w:rPr>
          <w:rFonts w:eastAsia="Verdana" w:cs="Verdana"/>
          <w:color w:val="000000"/>
          <w:lang w:eastAsia="da-DK"/>
        </w:rPr>
        <w:t xml:space="preserve"> må ikke videredelegeres.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69DA734F" w14:textId="0BD051BF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</w:t>
      </w:r>
      <w:r w:rsidR="002C626D">
        <w:rPr>
          <w:rFonts w:eastAsia="Verdana" w:cs="Verdana"/>
          <w:color w:val="000000"/>
          <w:lang w:eastAsia="da-DK"/>
        </w:rPr>
        <w:t>d</w:t>
      </w:r>
      <w:r>
        <w:rPr>
          <w:rFonts w:eastAsia="Verdana" w:cs="Verdana"/>
          <w:color w:val="000000"/>
          <w:lang w:eastAsia="da-DK"/>
        </w:rPr>
        <w:t xml:space="preserve">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>må kun gives én gang</w:t>
      </w:r>
      <w:r w:rsidR="002C626D">
        <w:rPr>
          <w:rFonts w:eastAsia="Verdana" w:cs="Verdana"/>
          <w:color w:val="000000"/>
          <w:lang w:eastAsia="da-DK"/>
        </w:rPr>
        <w:t xml:space="preserve"> til den </w:t>
      </w:r>
      <w:r>
        <w:rPr>
          <w:rFonts w:eastAsia="Verdana" w:cs="Verdana"/>
          <w:color w:val="000000"/>
          <w:lang w:eastAsia="da-DK"/>
        </w:rPr>
        <w:t>tilskadekomn</w:t>
      </w:r>
      <w:r w:rsidR="002C626D">
        <w:rPr>
          <w:rFonts w:eastAsia="Verdana" w:cs="Verdana"/>
          <w:color w:val="000000"/>
          <w:lang w:eastAsia="da-DK"/>
        </w:rPr>
        <w:t>e</w:t>
      </w:r>
      <w:r>
        <w:rPr>
          <w:rFonts w:eastAsia="Verdana" w:cs="Verdana"/>
          <w:color w:val="000000"/>
          <w:lang w:eastAsia="da-DK"/>
        </w:rPr>
        <w:t xml:space="preserve">. </w:t>
      </w:r>
    </w:p>
    <w:p w14:paraId="7C86962E" w14:textId="71389834" w:rsidR="000E7878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Instruks for behandling med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>er gældende for operat</w:t>
      </w:r>
      <w:r w:rsidR="00D46A9B">
        <w:rPr>
          <w:rFonts w:eastAsia="Verdana" w:cs="Verdana"/>
          <w:color w:val="000000"/>
          <w:lang w:eastAsia="da-DK"/>
        </w:rPr>
        <w:t>i</w:t>
      </w:r>
      <w:r>
        <w:rPr>
          <w:rFonts w:eastAsia="Verdana" w:cs="Verdana"/>
          <w:color w:val="000000"/>
          <w:lang w:eastAsia="da-DK"/>
        </w:rPr>
        <w:t>onelt indsat personel</w:t>
      </w:r>
      <w:r w:rsidR="000E7878">
        <w:rPr>
          <w:rFonts w:eastAsia="Verdana" w:cs="Verdana"/>
          <w:color w:val="000000"/>
          <w:lang w:eastAsia="da-DK"/>
        </w:rPr>
        <w:t xml:space="preserve"> i Forsvaret</w:t>
      </w:r>
      <w:r>
        <w:rPr>
          <w:rFonts w:eastAsia="Verdana" w:cs="Verdana"/>
          <w:color w:val="000000"/>
          <w:lang w:eastAsia="da-DK"/>
        </w:rPr>
        <w:t>, nationalt</w:t>
      </w:r>
      <w:r w:rsidR="003255D0">
        <w:rPr>
          <w:rFonts w:eastAsia="Verdana" w:cs="Verdana"/>
          <w:color w:val="000000"/>
          <w:lang w:eastAsia="da-DK"/>
        </w:rPr>
        <w:t xml:space="preserve"> såvel</w:t>
      </w:r>
      <w:r>
        <w:rPr>
          <w:rFonts w:eastAsia="Verdana" w:cs="Verdana"/>
          <w:color w:val="000000"/>
          <w:lang w:eastAsia="da-DK"/>
        </w:rPr>
        <w:t xml:space="preserve"> som internationalt.  </w:t>
      </w:r>
    </w:p>
    <w:p w14:paraId="523C65E9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ab/>
      </w:r>
    </w:p>
    <w:p w14:paraId="721E7794" w14:textId="77777777" w:rsidR="00A84D71" w:rsidRPr="00A84D71" w:rsidRDefault="00A84D71" w:rsidP="00A84D71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>INDIKATIONER OG KONTRAINDIKATIONER</w:t>
      </w:r>
    </w:p>
    <w:p w14:paraId="15DE641A" w14:textId="77777777" w:rsidR="00C248FB" w:rsidRPr="00B55098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FF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Instruks</w:t>
      </w:r>
      <w:r>
        <w:rPr>
          <w:rFonts w:eastAsia="Verdana" w:cs="Verdana"/>
          <w:color w:val="000000"/>
          <w:lang w:eastAsia="da-DK"/>
        </w:rPr>
        <w:t xml:space="preserve"> for behandling med sugetablet Fentanyl 800 mikrogram</w:t>
      </w:r>
      <w:r w:rsidRPr="00A84D71">
        <w:rPr>
          <w:rFonts w:eastAsia="Verdana" w:cs="Verdana"/>
          <w:color w:val="000000"/>
          <w:lang w:eastAsia="da-DK"/>
        </w:rPr>
        <w:t xml:space="preserve"> gælder voksne traumepatienter under </w:t>
      </w:r>
      <w:r>
        <w:rPr>
          <w:rFonts w:eastAsia="Verdana" w:cs="Verdana"/>
          <w:color w:val="000000"/>
          <w:lang w:eastAsia="da-DK"/>
        </w:rPr>
        <w:t xml:space="preserve">TFC. </w:t>
      </w:r>
    </w:p>
    <w:p w14:paraId="0FB2EC53" w14:textId="77777777" w:rsidR="00C248FB" w:rsidRDefault="00C248FB" w:rsidP="00A84D71">
      <w:pPr>
        <w:spacing w:after="4" w:line="250" w:lineRule="auto"/>
        <w:ind w:left="1086" w:right="837" w:hanging="10"/>
        <w:rPr>
          <w:rFonts w:eastAsia="Verdana" w:cs="Verdana"/>
          <w:b/>
          <w:color w:val="000000"/>
          <w:lang w:eastAsia="da-DK"/>
        </w:rPr>
      </w:pPr>
    </w:p>
    <w:p w14:paraId="5E20EC70" w14:textId="77777777" w:rsidR="00A84D71" w:rsidRPr="000E4405" w:rsidRDefault="00C248FB" w:rsidP="000E4405">
      <w:pPr>
        <w:pStyle w:val="Overskrift2"/>
        <w:ind w:left="1076"/>
        <w:rPr>
          <w:rFonts w:eastAsia="Verdana"/>
          <w:b/>
          <w:lang w:eastAsia="da-DK"/>
        </w:rPr>
      </w:pPr>
      <w:r w:rsidRPr="000E4405">
        <w:rPr>
          <w:rFonts w:eastAsia="Verdana"/>
          <w:b/>
          <w:lang w:eastAsia="da-DK"/>
        </w:rPr>
        <w:t>3.1</w:t>
      </w:r>
      <w:r w:rsidR="000E4405">
        <w:rPr>
          <w:rFonts w:eastAsia="Verdana"/>
          <w:b/>
          <w:lang w:eastAsia="da-DK"/>
        </w:rPr>
        <w:t xml:space="preserve"> </w:t>
      </w:r>
      <w:r w:rsidR="00A84D71" w:rsidRPr="000E4405">
        <w:rPr>
          <w:rFonts w:eastAsia="Verdana"/>
          <w:b/>
          <w:lang w:eastAsia="da-DK"/>
        </w:rPr>
        <w:t>Indikation</w:t>
      </w:r>
    </w:p>
    <w:p w14:paraId="301B7F0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Behandling med fentanyl sugetablet 800 mikrogram må påbegyndes som makkerhjælp i T</w:t>
      </w:r>
      <w:r w:rsidR="00B55098">
        <w:rPr>
          <w:rFonts w:eastAsia="Verdana" w:cs="Verdana"/>
          <w:color w:val="000000"/>
          <w:lang w:eastAsia="da-DK"/>
        </w:rPr>
        <w:t xml:space="preserve">FC </w:t>
      </w:r>
      <w:r w:rsidRPr="00A84D71">
        <w:rPr>
          <w:rFonts w:eastAsia="Verdana" w:cs="Verdana"/>
          <w:color w:val="000000"/>
          <w:lang w:eastAsia="da-DK"/>
        </w:rPr>
        <w:t>såfremt</w:t>
      </w:r>
      <w:r w:rsidR="00B55098">
        <w:rPr>
          <w:rFonts w:eastAsia="Verdana" w:cs="Verdana"/>
          <w:color w:val="000000"/>
          <w:lang w:eastAsia="da-DK"/>
        </w:rPr>
        <w:t>, at</w:t>
      </w:r>
      <w:r w:rsidRPr="00A84D71">
        <w:rPr>
          <w:rFonts w:eastAsia="Verdana" w:cs="Verdana"/>
          <w:color w:val="000000"/>
          <w:lang w:eastAsia="da-DK"/>
        </w:rPr>
        <w:t xml:space="preserve"> nedenstående kriterier er opfyldt: </w:t>
      </w:r>
    </w:p>
    <w:p w14:paraId="29E5BA9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D33F46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>Der er an</w:t>
      </w:r>
      <w:r w:rsidR="00D46A9B">
        <w:rPr>
          <w:rFonts w:eastAsia="Verdana" w:cs="Verdana"/>
          <w:color w:val="000000"/>
          <w:lang w:eastAsia="da-DK"/>
        </w:rPr>
        <w:t>lagt tourniquet på baggrund af livstruende</w:t>
      </w:r>
      <w:r w:rsidRPr="00A84D71">
        <w:rPr>
          <w:rFonts w:eastAsia="Verdana" w:cs="Verdana"/>
          <w:color w:val="000000"/>
          <w:lang w:eastAsia="da-DK"/>
        </w:rPr>
        <w:t xml:space="preserve"> blødning på arm eller ben </w:t>
      </w:r>
    </w:p>
    <w:p w14:paraId="7D34843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ELLER </w:t>
      </w:r>
    </w:p>
    <w:p w14:paraId="62C1EA3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Skade med uudholdelige smerter, fx skud og fragment sår, knoglebrud eller brandsår </w:t>
      </w:r>
    </w:p>
    <w:p w14:paraId="4442C932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512D6A1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OG </w:t>
      </w:r>
    </w:p>
    <w:p w14:paraId="564CCA67" w14:textId="6E9B05B7" w:rsidR="00A84D71" w:rsidRPr="00A84D71" w:rsidRDefault="007C2B5E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•</w:t>
      </w:r>
      <w:r>
        <w:rPr>
          <w:rFonts w:eastAsia="Verdana" w:cs="Verdana"/>
          <w:color w:val="000000"/>
          <w:lang w:eastAsia="da-DK"/>
        </w:rPr>
        <w:tab/>
      </w:r>
      <w:r w:rsidR="00017AE0">
        <w:rPr>
          <w:rFonts w:eastAsia="Verdana" w:cs="Verdana"/>
          <w:color w:val="000000"/>
          <w:lang w:eastAsia="da-DK"/>
        </w:rPr>
        <w:t>T</w:t>
      </w:r>
      <w:r w:rsidR="00A84D71" w:rsidRPr="00A84D71">
        <w:rPr>
          <w:rFonts w:eastAsia="Verdana" w:cs="Verdana"/>
          <w:color w:val="000000"/>
          <w:lang w:eastAsia="da-DK"/>
        </w:rPr>
        <w:t xml:space="preserve">ilskadekomne er ved fuld bevidsthed, det vil sige alert (A) </w:t>
      </w:r>
      <w:r w:rsidR="00D46A9B">
        <w:rPr>
          <w:rFonts w:eastAsia="Verdana" w:cs="Verdana"/>
          <w:color w:val="000000"/>
          <w:lang w:eastAsia="da-DK"/>
        </w:rPr>
        <w:t>på</w:t>
      </w:r>
      <w:r w:rsidR="006035DF">
        <w:rPr>
          <w:rFonts w:eastAsia="Verdana" w:cs="Verdana"/>
          <w:color w:val="000000"/>
          <w:lang w:eastAsia="da-DK"/>
        </w:rPr>
        <w:t xml:space="preserve"> AVPU og</w:t>
      </w:r>
      <w:r w:rsidR="00A84D71" w:rsidRPr="00A84D71">
        <w:rPr>
          <w:rFonts w:eastAsia="Verdana" w:cs="Verdana"/>
          <w:color w:val="000000"/>
          <w:lang w:eastAsia="da-DK"/>
        </w:rPr>
        <w:t xml:space="preserve"> </w:t>
      </w:r>
    </w:p>
    <w:p w14:paraId="5AFDB286" w14:textId="1DBFC372" w:rsidR="00A84D71" w:rsidRPr="00A84D71" w:rsidRDefault="007C2B5E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•</w:t>
      </w:r>
      <w:r>
        <w:rPr>
          <w:rFonts w:eastAsia="Verdana" w:cs="Verdana"/>
          <w:color w:val="000000"/>
          <w:lang w:eastAsia="da-DK"/>
        </w:rPr>
        <w:tab/>
      </w:r>
      <w:r w:rsidR="00017AE0">
        <w:rPr>
          <w:rFonts w:eastAsia="Verdana" w:cs="Verdana"/>
          <w:color w:val="000000"/>
          <w:lang w:eastAsia="da-DK"/>
        </w:rPr>
        <w:t>T</w:t>
      </w:r>
      <w:r w:rsidR="00A84D71" w:rsidRPr="00A84D71">
        <w:rPr>
          <w:rFonts w:eastAsia="Verdana" w:cs="Verdana"/>
          <w:color w:val="000000"/>
          <w:lang w:eastAsia="da-DK"/>
        </w:rPr>
        <w:t xml:space="preserve">ilskadekomne er ukampdygtig og kan ikke længere aktivt deltage i kampen. </w:t>
      </w:r>
    </w:p>
    <w:p w14:paraId="51B6A81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75BDD1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Såfremt den tilskadekomne er alene og ovenstående er opfyldt, kan behandling med fentanyl sugetablet 800 mikrogram påbegyndes som selvhjælp. Dette dog kun til behandling af uudholdelige smerter fra tourniquet.</w:t>
      </w:r>
    </w:p>
    <w:p w14:paraId="4A3D878F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5864860" w14:textId="77777777" w:rsidR="00A84D71" w:rsidRPr="000E4405" w:rsidRDefault="00C248FB" w:rsidP="000E4405">
      <w:pPr>
        <w:pStyle w:val="Overskrift2"/>
        <w:ind w:left="1061"/>
        <w:rPr>
          <w:rFonts w:eastAsia="Verdana"/>
          <w:b/>
          <w:lang w:eastAsia="da-DK"/>
        </w:rPr>
      </w:pPr>
      <w:r w:rsidRPr="000E4405">
        <w:rPr>
          <w:rFonts w:eastAsia="Verdana"/>
          <w:b/>
          <w:lang w:eastAsia="da-DK"/>
        </w:rPr>
        <w:t>3.2</w:t>
      </w:r>
      <w:r w:rsidR="000E4405">
        <w:rPr>
          <w:rFonts w:eastAsia="Verdana"/>
          <w:b/>
          <w:lang w:eastAsia="da-DK"/>
        </w:rPr>
        <w:t xml:space="preserve"> </w:t>
      </w:r>
      <w:r w:rsidR="00A84D71" w:rsidRPr="000E4405">
        <w:rPr>
          <w:rFonts w:eastAsia="Verdana"/>
          <w:b/>
          <w:lang w:eastAsia="da-DK"/>
        </w:rPr>
        <w:t xml:space="preserve">Kontraindikation </w:t>
      </w:r>
    </w:p>
    <w:p w14:paraId="7B935307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Behandling med </w:t>
      </w:r>
      <w:r w:rsidR="00023A4F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 sugetablet 800 mikrogram må ikke påbegyndes, såfremt én af følgende er til stede: </w:t>
      </w:r>
    </w:p>
    <w:p w14:paraId="5DE530AC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</w:p>
    <w:p w14:paraId="733DFB0F" w14:textId="1701395D" w:rsidR="00A84D71" w:rsidRPr="00A84D71" w:rsidRDefault="00A84D71" w:rsidP="00017AE0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lastRenderedPageBreak/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ikke </w:t>
      </w:r>
      <w:r w:rsidR="00017AE0" w:rsidRPr="00A84D71">
        <w:rPr>
          <w:rFonts w:eastAsia="Verdana" w:cs="Verdana"/>
          <w:color w:val="000000"/>
          <w:lang w:eastAsia="da-DK"/>
        </w:rPr>
        <w:t xml:space="preserve">er </w:t>
      </w:r>
      <w:r w:rsidRPr="00A84D71">
        <w:rPr>
          <w:rFonts w:eastAsia="Verdana" w:cs="Verdana"/>
          <w:color w:val="000000"/>
          <w:lang w:eastAsia="da-DK"/>
        </w:rPr>
        <w:t>ved fuld bevidsthed, det vil sige (</w:t>
      </w:r>
      <w:r w:rsidR="00017AE0">
        <w:rPr>
          <w:rFonts w:eastAsia="Verdana" w:cs="Verdana"/>
          <w:color w:val="000000"/>
          <w:lang w:eastAsia="da-DK"/>
        </w:rPr>
        <w:t>VPU</w:t>
      </w:r>
      <w:r w:rsidRPr="00A84D71">
        <w:rPr>
          <w:rFonts w:eastAsia="Verdana" w:cs="Verdana"/>
          <w:color w:val="000000"/>
          <w:lang w:eastAsia="da-DK"/>
        </w:rPr>
        <w:t xml:space="preserve">) på AVPU.  </w:t>
      </w:r>
    </w:p>
    <w:p w14:paraId="2BD571CD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har </w:t>
      </w:r>
      <w:r w:rsidR="00022252">
        <w:rPr>
          <w:rFonts w:eastAsia="Verdana" w:cs="Verdana"/>
          <w:color w:val="000000"/>
          <w:lang w:eastAsia="da-DK"/>
        </w:rPr>
        <w:t xml:space="preserve">unormal langsom </w:t>
      </w:r>
      <w:r w:rsidRPr="00A84D71">
        <w:rPr>
          <w:rFonts w:eastAsia="Verdana" w:cs="Verdana"/>
          <w:color w:val="000000"/>
          <w:lang w:eastAsia="da-DK"/>
        </w:rPr>
        <w:t>vejrtrækning</w:t>
      </w:r>
      <w:r w:rsidR="00022252">
        <w:rPr>
          <w:rFonts w:eastAsia="Verdana" w:cs="Verdana"/>
          <w:color w:val="000000"/>
          <w:lang w:eastAsia="da-DK"/>
        </w:rPr>
        <w:t>.</w:t>
      </w:r>
      <w:r w:rsidRPr="00A84D71">
        <w:rPr>
          <w:rFonts w:eastAsia="Verdana" w:cs="Verdana"/>
          <w:color w:val="000000"/>
          <w:lang w:eastAsia="da-DK"/>
        </w:rPr>
        <w:t xml:space="preserve"> </w:t>
      </w:r>
    </w:p>
    <w:p w14:paraId="367B88FC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har tegn på </w:t>
      </w:r>
      <w:r>
        <w:rPr>
          <w:rFonts w:eastAsia="Verdana" w:cs="Verdana"/>
          <w:color w:val="000000"/>
          <w:lang w:eastAsia="da-DK"/>
        </w:rPr>
        <w:t>kredsløbssvigt</w:t>
      </w:r>
      <w:r w:rsidRPr="00A84D71">
        <w:rPr>
          <w:rFonts w:eastAsia="Verdana" w:cs="Verdana"/>
          <w:color w:val="000000"/>
          <w:lang w:eastAsia="da-DK"/>
        </w:rPr>
        <w:t xml:space="preserve">. </w:t>
      </w:r>
    </w:p>
    <w:p w14:paraId="3C42F846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>Tilskadekomne har kendt allergi over for fentanyl.</w:t>
      </w:r>
    </w:p>
    <w:p w14:paraId="703B6F44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</w:p>
    <w:p w14:paraId="33287BBD" w14:textId="77777777" w:rsidR="00A84D71" w:rsidRPr="00A84D71" w:rsidRDefault="00A84D71" w:rsidP="00A84D71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4. MATERIEL </w:t>
      </w:r>
    </w:p>
    <w:p w14:paraId="331FDB33" w14:textId="77777777" w:rsidR="00A84D71" w:rsidRPr="00A84D71" w:rsidRDefault="00A84D71" w:rsidP="00A84D71">
      <w:pPr>
        <w:spacing w:after="51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Fentanyl sugetablet 800 mikrogram med applikator.</w:t>
      </w:r>
    </w:p>
    <w:p w14:paraId="68290FB0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</w:p>
    <w:p w14:paraId="0A4BBCD1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5. </w:t>
      </w:r>
      <w:r w:rsidR="00C248FB">
        <w:rPr>
          <w:rFonts w:eastAsia="Verdana" w:cs="Verdana"/>
          <w:b/>
          <w:color w:val="000000"/>
          <w:lang w:eastAsia="da-DK"/>
        </w:rPr>
        <w:t>FREMGANGSMÅDE</w:t>
      </w:r>
      <w:r w:rsidRPr="00A84D71">
        <w:rPr>
          <w:rFonts w:eastAsia="Verdana" w:cs="Verdana"/>
          <w:b/>
          <w:color w:val="000000"/>
          <w:lang w:eastAsia="da-DK"/>
        </w:rPr>
        <w:t xml:space="preserve"> </w:t>
      </w:r>
    </w:p>
    <w:p w14:paraId="1697444B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1.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afvæbnes og våbnet sikres. </w:t>
      </w:r>
    </w:p>
    <w:p w14:paraId="4423A4B9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2.</w:t>
      </w:r>
      <w:r w:rsidRPr="00A84D71">
        <w:rPr>
          <w:rFonts w:eastAsia="Verdana" w:cs="Verdana"/>
          <w:color w:val="000000"/>
          <w:lang w:eastAsia="da-DK"/>
        </w:rPr>
        <w:tab/>
        <w:t xml:space="preserve">Du sikrer dig, at tilskadekomne ønsker at modtage behandling med </w:t>
      </w:r>
      <w:r w:rsidR="008B25D0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entanyl. </w:t>
      </w:r>
    </w:p>
    <w:p w14:paraId="26731EE1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3.</w:t>
      </w:r>
      <w:r w:rsidRPr="00A84D71">
        <w:rPr>
          <w:rFonts w:eastAsia="Verdana" w:cs="Verdana"/>
          <w:color w:val="000000"/>
          <w:lang w:eastAsia="da-DK"/>
        </w:rPr>
        <w:tab/>
        <w:t xml:space="preserve">Du sikrer dig, at tilskadekomne ikke har kendt allergi over for </w:t>
      </w:r>
      <w:r w:rsidR="008B25D0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entanyl. </w:t>
      </w:r>
    </w:p>
    <w:p w14:paraId="29747721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4.</w:t>
      </w:r>
      <w:r w:rsidRPr="00A84D71">
        <w:rPr>
          <w:rFonts w:eastAsia="Verdana" w:cs="Verdana"/>
          <w:color w:val="000000"/>
          <w:lang w:eastAsia="da-DK"/>
        </w:rPr>
        <w:tab/>
        <w:t xml:space="preserve">Åbn indpakningen med saksen. </w:t>
      </w:r>
    </w:p>
    <w:p w14:paraId="740AFB3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5.</w:t>
      </w:r>
      <w:r w:rsidRPr="00A84D71">
        <w:rPr>
          <w:rFonts w:eastAsia="Verdana" w:cs="Verdana"/>
          <w:color w:val="000000"/>
          <w:lang w:eastAsia="da-DK"/>
        </w:rPr>
        <w:tab/>
        <w:t>Sugetabletten anbringes i munden</w:t>
      </w:r>
      <w:r w:rsidR="00023A4F">
        <w:rPr>
          <w:rFonts w:eastAsia="Verdana" w:cs="Verdana"/>
          <w:color w:val="000000"/>
          <w:lang w:eastAsia="da-DK"/>
        </w:rPr>
        <w:t xml:space="preserve"> på den tilskadekomne, som instrueres i at stryge tabletten</w:t>
      </w:r>
      <w:r w:rsidRPr="00A84D71">
        <w:rPr>
          <w:rFonts w:eastAsia="Verdana" w:cs="Verdana"/>
          <w:color w:val="000000"/>
          <w:lang w:eastAsia="da-DK"/>
        </w:rPr>
        <w:t xml:space="preserve"> mod kinden samtidig med, at </w:t>
      </w:r>
      <w:r w:rsidR="008B25D0">
        <w:rPr>
          <w:rFonts w:eastAsia="Verdana" w:cs="Verdana"/>
          <w:color w:val="000000"/>
          <w:lang w:eastAsia="da-DK"/>
        </w:rPr>
        <w:t xml:space="preserve">pågældende </w:t>
      </w:r>
      <w:r w:rsidRPr="00A84D71">
        <w:rPr>
          <w:rFonts w:eastAsia="Verdana" w:cs="Verdana"/>
          <w:color w:val="000000"/>
          <w:lang w:eastAsia="da-DK"/>
        </w:rPr>
        <w:t xml:space="preserve">suger. </w:t>
      </w:r>
    </w:p>
    <w:p w14:paraId="645438BB" w14:textId="77777777" w:rsid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6.</w:t>
      </w:r>
      <w:r w:rsidRPr="00A84D71">
        <w:rPr>
          <w:rFonts w:eastAsia="Verdana" w:cs="Verdana"/>
          <w:color w:val="000000"/>
          <w:lang w:eastAsia="da-DK"/>
        </w:rPr>
        <w:tab/>
        <w:t xml:space="preserve">Informér tilskadekomne om bivirkninger ved behandling med Fentanyl, som er følgende: </w:t>
      </w:r>
    </w:p>
    <w:p w14:paraId="0E11505A" w14:textId="77777777" w:rsidR="005C5341" w:rsidRDefault="005C534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tbl>
      <w:tblPr>
        <w:tblStyle w:val="Tabel-Gitter"/>
        <w:tblW w:w="0" w:type="auto"/>
        <w:tblInd w:w="1086" w:type="dxa"/>
        <w:tblLook w:val="04A0" w:firstRow="1" w:lastRow="0" w:firstColumn="1" w:lastColumn="0" w:noHBand="0" w:noVBand="1"/>
      </w:tblPr>
      <w:tblGrid>
        <w:gridCol w:w="4108"/>
        <w:gridCol w:w="4208"/>
      </w:tblGrid>
      <w:tr w:rsidR="005C5341" w14:paraId="0A0EC4FA" w14:textId="77777777" w:rsidTr="005C5341">
        <w:tc>
          <w:tcPr>
            <w:tcW w:w="4701" w:type="dxa"/>
          </w:tcPr>
          <w:p w14:paraId="49444E2F" w14:textId="77777777" w:rsidR="005C5341" w:rsidRP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b/>
                <w:color w:val="000000"/>
              </w:rPr>
            </w:pPr>
            <w:r w:rsidRPr="005C5341">
              <w:rPr>
                <w:rFonts w:eastAsia="Verdana" w:cs="Verdana"/>
                <w:b/>
                <w:color w:val="000000"/>
              </w:rPr>
              <w:t xml:space="preserve">Almindelige bivirkninger </w:t>
            </w:r>
          </w:p>
        </w:tc>
        <w:tc>
          <w:tcPr>
            <w:tcW w:w="4701" w:type="dxa"/>
          </w:tcPr>
          <w:p w14:paraId="5C783179" w14:textId="77777777" w:rsidR="005C5341" w:rsidRP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b/>
                <w:color w:val="000000"/>
              </w:rPr>
            </w:pPr>
            <w:r w:rsidRPr="005C5341">
              <w:rPr>
                <w:rFonts w:eastAsia="Verdana" w:cs="Verdana"/>
                <w:b/>
                <w:color w:val="000000"/>
              </w:rPr>
              <w:t xml:space="preserve">Alvorlige bivirkninger </w:t>
            </w:r>
          </w:p>
        </w:tc>
      </w:tr>
      <w:tr w:rsidR="005C5341" w14:paraId="7D468D64" w14:textId="77777777" w:rsidTr="005C5341">
        <w:tc>
          <w:tcPr>
            <w:tcW w:w="4701" w:type="dxa"/>
          </w:tcPr>
          <w:p w14:paraId="73A77260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Svimmelhed</w:t>
            </w:r>
          </w:p>
        </w:tc>
        <w:tc>
          <w:tcPr>
            <w:tcW w:w="4701" w:type="dxa"/>
          </w:tcPr>
          <w:p w14:paraId="79DBB89E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Nedsat vejrtrækning</w:t>
            </w:r>
          </w:p>
        </w:tc>
      </w:tr>
      <w:tr w:rsidR="005C5341" w14:paraId="7C260674" w14:textId="77777777" w:rsidTr="005C5341">
        <w:tc>
          <w:tcPr>
            <w:tcW w:w="4701" w:type="dxa"/>
          </w:tcPr>
          <w:p w14:paraId="16AB293F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Hovedpine</w:t>
            </w:r>
          </w:p>
        </w:tc>
        <w:tc>
          <w:tcPr>
            <w:tcW w:w="4701" w:type="dxa"/>
          </w:tcPr>
          <w:p w14:paraId="3F5A095D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Uro </w:t>
            </w:r>
          </w:p>
        </w:tc>
      </w:tr>
      <w:tr w:rsidR="005C5341" w14:paraId="24BD3E7F" w14:textId="77777777" w:rsidTr="005C5341">
        <w:tc>
          <w:tcPr>
            <w:tcW w:w="4701" w:type="dxa"/>
          </w:tcPr>
          <w:p w14:paraId="59D28FE4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Kvalme/opkastninger </w:t>
            </w:r>
          </w:p>
        </w:tc>
        <w:tc>
          <w:tcPr>
            <w:tcW w:w="4701" w:type="dxa"/>
          </w:tcPr>
          <w:p w14:paraId="7DE7127D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Døsighed/bevidstløshed</w:t>
            </w:r>
          </w:p>
        </w:tc>
      </w:tr>
      <w:tr w:rsidR="005C5341" w14:paraId="6F577C67" w14:textId="77777777" w:rsidTr="005C5341">
        <w:tc>
          <w:tcPr>
            <w:tcW w:w="4701" w:type="dxa"/>
          </w:tcPr>
          <w:p w14:paraId="0B1355FF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Hjertebanken</w:t>
            </w:r>
          </w:p>
        </w:tc>
        <w:tc>
          <w:tcPr>
            <w:tcW w:w="4701" w:type="dxa"/>
          </w:tcPr>
          <w:p w14:paraId="7FD6D287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Allergisk reaktion </w:t>
            </w:r>
          </w:p>
        </w:tc>
      </w:tr>
    </w:tbl>
    <w:p w14:paraId="0A4C62E6" w14:textId="77777777" w:rsidR="005C5341" w:rsidRPr="00A84D71" w:rsidRDefault="005C534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2F7ABF30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Bivirkninger gennemgås på ASM</w:t>
      </w:r>
      <w:r>
        <w:rPr>
          <w:rFonts w:eastAsia="Verdana" w:cs="Verdana"/>
          <w:color w:val="000000"/>
          <w:lang w:eastAsia="da-DK"/>
        </w:rPr>
        <w:t>-</w:t>
      </w:r>
      <w:r w:rsidR="00023A4F">
        <w:rPr>
          <w:rFonts w:eastAsia="Verdana" w:cs="Verdana"/>
          <w:color w:val="000000"/>
          <w:lang w:eastAsia="da-DK"/>
        </w:rPr>
        <w:t xml:space="preserve">uddannelsen </w:t>
      </w:r>
      <w:r w:rsidRPr="00A84D71">
        <w:rPr>
          <w:rFonts w:eastAsia="Verdana" w:cs="Verdana"/>
          <w:color w:val="000000"/>
          <w:lang w:eastAsia="da-DK"/>
        </w:rPr>
        <w:t>og i forbindelse med recertificering, men skal om muligt</w:t>
      </w:r>
      <w:r>
        <w:rPr>
          <w:rFonts w:eastAsia="Verdana" w:cs="Verdana"/>
          <w:color w:val="000000"/>
          <w:lang w:eastAsia="da-DK"/>
        </w:rPr>
        <w:t xml:space="preserve"> </w:t>
      </w:r>
      <w:r w:rsidRPr="00A84D71">
        <w:rPr>
          <w:rFonts w:eastAsia="Verdana" w:cs="Verdana"/>
          <w:color w:val="000000"/>
          <w:lang w:eastAsia="da-DK"/>
        </w:rPr>
        <w:t>sta</w:t>
      </w:r>
      <w:r>
        <w:rPr>
          <w:rFonts w:eastAsia="Verdana" w:cs="Verdana"/>
          <w:color w:val="000000"/>
          <w:lang w:eastAsia="da-DK"/>
        </w:rPr>
        <w:t>dig gennemgås for tilskadekomne</w:t>
      </w:r>
    </w:p>
    <w:p w14:paraId="13055FAB" w14:textId="77777777" w:rsidR="00A84D71" w:rsidRPr="00A84D71" w:rsidRDefault="00A84D71" w:rsidP="00A84D71">
      <w:pPr>
        <w:spacing w:line="259" w:lineRule="auto"/>
        <w:ind w:left="1076"/>
        <w:rPr>
          <w:rFonts w:eastAsia="Verdana" w:cs="Verdana"/>
          <w:color w:val="000000"/>
          <w:lang w:eastAsia="da-DK"/>
        </w:rPr>
      </w:pPr>
    </w:p>
    <w:p w14:paraId="5033E4AF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6. KONTROL </w:t>
      </w:r>
    </w:p>
    <w:p w14:paraId="71D8E4F0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Sikre at tilskadekomne fortsat er ved fuld bevidsthed</w:t>
      </w:r>
      <w:r w:rsidR="00023A4F">
        <w:rPr>
          <w:rFonts w:eastAsia="Verdana" w:cs="Verdana"/>
          <w:color w:val="000000"/>
          <w:lang w:eastAsia="da-DK"/>
        </w:rPr>
        <w:t xml:space="preserve">. Det </w:t>
      </w:r>
      <w:r w:rsidRPr="00A84D71">
        <w:rPr>
          <w:rFonts w:eastAsia="Verdana" w:cs="Verdana"/>
          <w:color w:val="000000"/>
          <w:lang w:eastAsia="da-DK"/>
        </w:rPr>
        <w:t xml:space="preserve">vil sige alert (A) på AVPU.  </w:t>
      </w:r>
    </w:p>
    <w:p w14:paraId="28D3C373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Sikre at tilskadekomne fortsat har </w:t>
      </w:r>
      <w:r w:rsidR="00D03BD0">
        <w:rPr>
          <w:rFonts w:eastAsia="Verdana" w:cs="Verdana"/>
          <w:color w:val="000000"/>
          <w:lang w:eastAsia="da-DK"/>
        </w:rPr>
        <w:t xml:space="preserve">normal </w:t>
      </w:r>
      <w:r w:rsidRPr="00A84D71">
        <w:rPr>
          <w:rFonts w:eastAsia="Verdana" w:cs="Verdana"/>
          <w:color w:val="000000"/>
          <w:lang w:eastAsia="da-DK"/>
        </w:rPr>
        <w:t>vejrt</w:t>
      </w:r>
      <w:r w:rsidR="00D03BD0">
        <w:rPr>
          <w:rFonts w:eastAsia="Verdana" w:cs="Verdana"/>
          <w:color w:val="000000"/>
          <w:lang w:eastAsia="da-DK"/>
        </w:rPr>
        <w:t>rækning.</w:t>
      </w:r>
    </w:p>
    <w:p w14:paraId="5EFDDAC8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Sikre at tilskadekomne ikke har bivirkninger, der er så ubehagelige, at de overstiger den smertestillende effekt af behandling med Fentanyl. </w:t>
      </w:r>
    </w:p>
    <w:p w14:paraId="4BBF19D9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Såfremt en eller flere af ovenstående forhold opstår, indstilles behandlingen med Fentanyl.</w:t>
      </w:r>
    </w:p>
    <w:p w14:paraId="7D4F88F3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</w:p>
    <w:p w14:paraId="6F45BA6D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610DD404" w14:textId="77777777" w:rsidR="00A84D71" w:rsidRPr="00A84D71" w:rsidRDefault="00A84D71" w:rsidP="00A84D71">
      <w:pPr>
        <w:spacing w:after="41" w:line="259" w:lineRule="auto"/>
        <w:ind w:left="1076"/>
        <w:rPr>
          <w:rFonts w:eastAsia="Verdana" w:cs="Verdana"/>
          <w:color w:val="FF0000"/>
          <w:lang w:eastAsia="da-DK"/>
        </w:rPr>
      </w:pPr>
      <w:r w:rsidRPr="00A84D71">
        <w:rPr>
          <w:rFonts w:eastAsia="Verdana" w:cs="Verdana"/>
          <w:lang w:eastAsia="da-DK"/>
        </w:rPr>
        <w:t xml:space="preserve">Tidspunkt for behandling noteres </w:t>
      </w:r>
      <w:r w:rsidR="00D46A9B">
        <w:rPr>
          <w:rFonts w:eastAsia="Verdana" w:cs="Verdana"/>
          <w:lang w:eastAsia="da-DK"/>
        </w:rPr>
        <w:t>på</w:t>
      </w:r>
      <w:r w:rsidRPr="00A84D71">
        <w:rPr>
          <w:rFonts w:eastAsia="Verdana" w:cs="Verdana"/>
          <w:lang w:eastAsia="da-DK"/>
        </w:rPr>
        <w:t xml:space="preserve"> den tilskadekomnes MISTAT kort</w:t>
      </w:r>
      <w:r>
        <w:rPr>
          <w:rFonts w:eastAsia="Verdana" w:cs="Verdana"/>
          <w:color w:val="FF0000"/>
          <w:lang w:eastAsia="da-DK"/>
        </w:rPr>
        <w:t>.</w:t>
      </w:r>
    </w:p>
    <w:p w14:paraId="6A8B975C" w14:textId="77777777" w:rsidR="00A84D71" w:rsidRPr="00A84D71" w:rsidRDefault="00A84D71" w:rsidP="00A84D71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083A9292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4A159EF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Den smertestillende effekt af sugetablet Fentanyl begynder efter 10 til 15 minutter med maksimal effekt efter 20 til 40 minutter. Den smertestillende effekt varer cirka 2 timer. </w:t>
      </w:r>
    </w:p>
    <w:p w14:paraId="3A803ED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4F7F1DB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Knuses eller synkes sugetabletten</w:t>
      </w:r>
      <w:r w:rsidR="006F415A">
        <w:rPr>
          <w:rFonts w:eastAsia="Verdana" w:cs="Verdana"/>
          <w:color w:val="000000"/>
          <w:lang w:eastAsia="da-DK"/>
        </w:rPr>
        <w:t>,</w:t>
      </w:r>
      <w:r w:rsidR="00023A4F">
        <w:rPr>
          <w:rFonts w:eastAsia="Verdana" w:cs="Verdana"/>
          <w:color w:val="000000"/>
          <w:lang w:eastAsia="da-DK"/>
        </w:rPr>
        <w:t xml:space="preserve"> vil</w:t>
      </w:r>
      <w:r w:rsidRPr="00A84D71">
        <w:rPr>
          <w:rFonts w:eastAsia="Verdana" w:cs="Verdana"/>
          <w:color w:val="000000"/>
          <w:lang w:eastAsia="da-DK"/>
        </w:rPr>
        <w:t xml:space="preserve"> effekten</w:t>
      </w:r>
      <w:r w:rsidR="00023A4F">
        <w:rPr>
          <w:rFonts w:eastAsia="Verdana" w:cs="Verdana"/>
          <w:color w:val="000000"/>
          <w:lang w:eastAsia="da-DK"/>
        </w:rPr>
        <w:t xml:space="preserve"> af behandlingen reduceres</w:t>
      </w:r>
      <w:r w:rsidRPr="00A84D71">
        <w:rPr>
          <w:rFonts w:eastAsia="Verdana" w:cs="Verdana"/>
          <w:color w:val="000000"/>
          <w:lang w:eastAsia="da-DK"/>
        </w:rPr>
        <w:t xml:space="preserve"> betydeligt. </w:t>
      </w:r>
    </w:p>
    <w:p w14:paraId="1706556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906E0A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lastRenderedPageBreak/>
        <w:t>Under træning og øvelse anvendes Fentanyl sugetablet</w:t>
      </w:r>
      <w:r w:rsidR="00580B25">
        <w:rPr>
          <w:rFonts w:eastAsia="Verdana" w:cs="Verdana"/>
          <w:color w:val="000000"/>
          <w:lang w:eastAsia="da-DK"/>
        </w:rPr>
        <w:t>,</w:t>
      </w:r>
      <w:r w:rsidRPr="00A84D71">
        <w:rPr>
          <w:rFonts w:eastAsia="Verdana" w:cs="Verdana"/>
          <w:color w:val="000000"/>
          <w:lang w:eastAsia="da-DK"/>
        </w:rPr>
        <w:t xml:space="preserve"> som ikke indeholder det aktive stof Fentanyl. </w:t>
      </w:r>
    </w:p>
    <w:p w14:paraId="47E636A5" w14:textId="77777777" w:rsid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5CB4410" w14:textId="77777777" w:rsidR="00A84D71" w:rsidRDefault="00BF1A13" w:rsidP="006035DF">
      <w:pPr>
        <w:spacing w:after="4" w:line="250" w:lineRule="auto"/>
        <w:ind w:left="1071" w:right="1057" w:hanging="10"/>
        <w:rPr>
          <w:rFonts w:eastAsia="Verdana" w:cs="Verdana"/>
          <w:lang w:eastAsia="da-DK"/>
        </w:rPr>
      </w:pPr>
      <w:r w:rsidRPr="00D66D1F">
        <w:rPr>
          <w:rFonts w:eastAsia="Verdana" w:cs="Verdana"/>
          <w:color w:val="000000"/>
          <w:lang w:eastAsia="da-DK"/>
        </w:rPr>
        <w:t>QR</w:t>
      </w:r>
      <w:r w:rsidR="00D46A9B">
        <w:rPr>
          <w:rFonts w:eastAsia="Verdana" w:cs="Verdana"/>
          <w:color w:val="000000"/>
          <w:lang w:eastAsia="da-DK"/>
        </w:rPr>
        <w:t>-</w:t>
      </w:r>
      <w:r w:rsidRPr="00D66D1F">
        <w:rPr>
          <w:rFonts w:eastAsia="Verdana" w:cs="Verdana"/>
          <w:color w:val="000000"/>
          <w:lang w:eastAsia="da-DK"/>
        </w:rPr>
        <w:t xml:space="preserve">kode </w:t>
      </w:r>
      <w:r>
        <w:rPr>
          <w:rFonts w:eastAsia="Verdana" w:cs="Verdana"/>
          <w:color w:val="000000"/>
          <w:lang w:eastAsia="da-DK"/>
        </w:rPr>
        <w:t>i læringsma</w:t>
      </w:r>
      <w:r w:rsidR="00AC4BA7">
        <w:rPr>
          <w:rFonts w:eastAsia="Verdana" w:cs="Verdana"/>
          <w:color w:val="000000"/>
          <w:lang w:eastAsia="da-DK"/>
        </w:rPr>
        <w:t>t</w:t>
      </w:r>
      <w:r>
        <w:rPr>
          <w:rFonts w:eastAsia="Verdana" w:cs="Verdana"/>
          <w:color w:val="000000"/>
          <w:lang w:eastAsia="da-DK"/>
        </w:rPr>
        <w:t xml:space="preserve">erialet </w:t>
      </w:r>
      <w:r w:rsidRPr="00D66D1F">
        <w:rPr>
          <w:rFonts w:eastAsia="Verdana" w:cs="Verdana"/>
          <w:color w:val="000000"/>
          <w:lang w:eastAsia="da-DK"/>
        </w:rPr>
        <w:t>henviser til den n</w:t>
      </w:r>
      <w:r w:rsidR="00580B25">
        <w:rPr>
          <w:rFonts w:eastAsia="Verdana" w:cs="Verdana"/>
          <w:color w:val="000000"/>
          <w:lang w:eastAsia="da-DK"/>
        </w:rPr>
        <w:t xml:space="preserve">yeste </w:t>
      </w:r>
      <w:r w:rsidR="006035DF">
        <w:rPr>
          <w:rFonts w:eastAsia="Verdana" w:cs="Verdana"/>
          <w:color w:val="000000"/>
          <w:lang w:eastAsia="da-DK"/>
        </w:rPr>
        <w:t xml:space="preserve">udgave af dette dokument og til </w:t>
      </w:r>
      <w:r w:rsidR="00A84D71" w:rsidRPr="00A84D71">
        <w:rPr>
          <w:rFonts w:eastAsia="Verdana" w:cs="Verdana"/>
          <w:color w:val="000000"/>
          <w:lang w:eastAsia="da-DK"/>
        </w:rPr>
        <w:t xml:space="preserve">den seneste udgave af instruktionsvideo, </w:t>
      </w:r>
      <w:r w:rsidR="00A84D71" w:rsidRPr="00A84D71">
        <w:rPr>
          <w:rFonts w:eastAsia="Verdana" w:cs="Verdana"/>
          <w:lang w:eastAsia="da-DK"/>
        </w:rPr>
        <w:t xml:space="preserve">som </w:t>
      </w:r>
      <w:r w:rsidR="00A84D71" w:rsidRPr="00A84D71">
        <w:rPr>
          <w:rFonts w:eastAsia="Verdana" w:cs="Verdana"/>
          <w:u w:val="single"/>
          <w:lang w:eastAsia="da-DK"/>
        </w:rPr>
        <w:t xml:space="preserve">skal </w:t>
      </w:r>
      <w:r w:rsidR="00A84D71" w:rsidRPr="00A84D71">
        <w:rPr>
          <w:rFonts w:eastAsia="Verdana" w:cs="Verdana"/>
          <w:lang w:eastAsia="da-DK"/>
        </w:rPr>
        <w:t>forevises til elever på ASM</w:t>
      </w:r>
      <w:r w:rsidR="00D75CD4">
        <w:rPr>
          <w:rFonts w:eastAsia="Verdana" w:cs="Verdana"/>
          <w:lang w:eastAsia="da-DK"/>
        </w:rPr>
        <w:t>-</w:t>
      </w:r>
      <w:r w:rsidR="00AC4BA7">
        <w:rPr>
          <w:rFonts w:eastAsia="Verdana" w:cs="Verdana"/>
          <w:lang w:eastAsia="da-DK"/>
        </w:rPr>
        <w:t>uddannelsen</w:t>
      </w:r>
      <w:r w:rsidR="00A84D71" w:rsidRPr="00A84D71">
        <w:rPr>
          <w:rFonts w:eastAsia="Verdana" w:cs="Verdana"/>
          <w:lang w:eastAsia="da-DK"/>
        </w:rPr>
        <w:t>, hvilket er instruktørens ansvar.</w:t>
      </w:r>
    </w:p>
    <w:p w14:paraId="41FEF7C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</w:p>
    <w:p w14:paraId="6D743839" w14:textId="77777777" w:rsidR="00A84D71" w:rsidRPr="00A84D71" w:rsidRDefault="004F644F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10</w:t>
      </w:r>
      <w:r w:rsidR="00A84D71" w:rsidRPr="00A84D71">
        <w:rPr>
          <w:rFonts w:eastAsia="Verdana" w:cs="Verdana"/>
          <w:b/>
          <w:color w:val="000000"/>
          <w:lang w:eastAsia="da-DK"/>
        </w:rPr>
        <w:t xml:space="preserve">. KILDER </w:t>
      </w:r>
    </w:p>
    <w:p w14:paraId="1E9DE5F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Medicin.dk. Tilgængelig via: www.medicin.dk </w:t>
      </w:r>
    </w:p>
    <w:p w14:paraId="2A8CB10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Drugs.com. Tilgængelig via: www.drugs.com </w:t>
      </w:r>
    </w:p>
    <w:p w14:paraId="726FB05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Wedmore IS, Butler FK Jr. Battlefield Analgesia in Tactical Combat Casualty Care. Wilderness &amp; Environmental Medicine. 2017;28:S109–S116. </w:t>
      </w:r>
    </w:p>
    <w:p w14:paraId="41CC8A7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Fleischman RJ, Frazer DG, Daya M. Effectiveness and safety of fentanyl compared with morphine for out-of-hospital analgesia. Prehosp Emerg Care. 2010;14:S167–S175. </w:t>
      </w:r>
    </w:p>
    <w:p w14:paraId="5EE8CC1F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Wedmore IS, Kotwal RS, McManus JG. Safety and efficacy of oral transmucosal fentanyl citrate for prehospital pain control on the battlefield. J Trauma Acute Care Surg. 2012;73:S490–S495. </w:t>
      </w:r>
    </w:p>
    <w:p w14:paraId="23EBB9C0" w14:textId="77777777" w:rsidR="00A84D71" w:rsidRPr="001A4A1E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1A4A1E">
        <w:rPr>
          <w:rFonts w:eastAsia="Verdana" w:cs="Verdana"/>
          <w:color w:val="000000"/>
          <w:lang w:val="en-US" w:eastAsia="da-DK"/>
        </w:rPr>
        <w:t>•</w:t>
      </w:r>
      <w:r w:rsidRPr="001A4A1E">
        <w:rPr>
          <w:rFonts w:eastAsia="Verdana" w:cs="Verdana"/>
          <w:color w:val="000000"/>
          <w:lang w:val="en-US" w:eastAsia="da-DK"/>
        </w:rPr>
        <w:tab/>
        <w:t>MISTAT ATP-97 EDB V1 E</w:t>
      </w:r>
    </w:p>
    <w:p w14:paraId="2541B13A" w14:textId="77777777" w:rsidR="001966A7" w:rsidRPr="00307FE3" w:rsidRDefault="001966A7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307FE3">
        <w:rPr>
          <w:rFonts w:eastAsia="Verdana" w:cs="Verdana"/>
          <w:color w:val="000000"/>
          <w:lang w:eastAsia="da-DK"/>
        </w:rPr>
        <w:t>•</w:t>
      </w:r>
      <w:r w:rsidRPr="00307FE3">
        <w:rPr>
          <w:rFonts w:eastAsia="Verdana" w:cs="Verdana"/>
          <w:color w:val="000000"/>
          <w:lang w:eastAsia="da-DK"/>
        </w:rPr>
        <w:tab/>
        <w:t xml:space="preserve">pro.medicin.dk </w:t>
      </w:r>
    </w:p>
    <w:p w14:paraId="6438B391" w14:textId="77777777" w:rsidR="001966A7" w:rsidRPr="00307FE3" w:rsidRDefault="001966A7" w:rsidP="001966A7">
      <w:pPr>
        <w:pStyle w:val="Opstilling-punkttegn"/>
        <w:numPr>
          <w:ilvl w:val="0"/>
          <w:numId w:val="0"/>
        </w:numPr>
        <w:ind w:left="357"/>
        <w:rPr>
          <w:lang w:eastAsia="da-DK"/>
        </w:rPr>
      </w:pPr>
    </w:p>
    <w:sectPr w:rsidR="001966A7" w:rsidRPr="00307FE3" w:rsidSect="00D66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2ED1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056AB6E0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2B6C" w14:textId="77777777" w:rsidR="00D153BC" w:rsidRDefault="00D153B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4FA" w14:textId="2FB9E3DD" w:rsidR="00D153BC" w:rsidRDefault="00D153BC" w:rsidP="00D153B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4EA0" w14:textId="30BF1833" w:rsidR="00D153BC" w:rsidRDefault="00D153BC" w:rsidP="00D153BC">
    <w:pPr>
      <w:pStyle w:val="Sidefod"/>
      <w:rPr>
        <w:sz w:val="12"/>
        <w:szCs w:val="12"/>
      </w:rPr>
    </w:pPr>
  </w:p>
  <w:p w14:paraId="5DC6174E" w14:textId="77777777" w:rsidR="00D153BC" w:rsidRPr="004F7DC8" w:rsidRDefault="00D153BC" w:rsidP="00D153BC">
    <w:pPr>
      <w:pStyle w:val="Sidefod"/>
      <w:rPr>
        <w:sz w:val="12"/>
        <w:szCs w:val="12"/>
      </w:rPr>
    </w:pPr>
    <w:r w:rsidRPr="004F7DC8">
      <w:rPr>
        <w:sz w:val="12"/>
        <w:szCs w:val="12"/>
      </w:rPr>
      <w:t>Ikrafttræden: 1/1 2025</w:t>
    </w:r>
  </w:p>
  <w:p w14:paraId="1379061C" w14:textId="77777777" w:rsidR="00D153BC" w:rsidRPr="004F7DC8" w:rsidRDefault="00D153BC" w:rsidP="00D153BC">
    <w:pPr>
      <w:pStyle w:val="Sidefod"/>
      <w:rPr>
        <w:sz w:val="12"/>
        <w:szCs w:val="12"/>
      </w:rPr>
    </w:pPr>
    <w:r w:rsidRPr="004F7DC8">
      <w:rPr>
        <w:sz w:val="12"/>
        <w:szCs w:val="12"/>
      </w:rPr>
      <w:t>Gyldighedsperiode: 1/1 2027</w:t>
    </w:r>
  </w:p>
  <w:p w14:paraId="24EC1838" w14:textId="77777777" w:rsidR="00D153BC" w:rsidRPr="004F7DC8" w:rsidRDefault="00D153BC" w:rsidP="00D153BC">
    <w:pPr>
      <w:pStyle w:val="Sidefod"/>
      <w:rPr>
        <w:sz w:val="12"/>
        <w:szCs w:val="12"/>
      </w:rPr>
    </w:pPr>
    <w:r w:rsidRPr="004F7DC8">
      <w:rPr>
        <w:sz w:val="12"/>
        <w:szCs w:val="12"/>
      </w:rPr>
      <w:t>Instruksen er gældende for: All Service Members, Tier1</w:t>
    </w:r>
  </w:p>
  <w:p w14:paraId="0C302CB4" w14:textId="21FD2711" w:rsidR="00650F35" w:rsidRDefault="00650F35" w:rsidP="00D153BC">
    <w:pPr>
      <w:pStyle w:val="Sidefod"/>
    </w:pPr>
  </w:p>
  <w:p w14:paraId="3F7090A6" w14:textId="4108DDC2" w:rsidR="00D66D1F" w:rsidRDefault="00D153BC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0E4405">
          <w:rPr>
            <w:noProof/>
          </w:rPr>
          <w:t>1</w:t>
        </w:r>
        <w:r w:rsidR="00D66D1F">
          <w:fldChar w:fldCharType="end"/>
        </w:r>
      </w:sdtContent>
    </w:sdt>
  </w:p>
  <w:p w14:paraId="5C6A1203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8CF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242C3217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C211" w14:textId="77777777" w:rsidR="00D153BC" w:rsidRDefault="00D153B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A9E8" w14:textId="5B49267E" w:rsidR="00D153BC" w:rsidRDefault="00D153BC" w:rsidP="00D153B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B30B" w14:textId="2848630F" w:rsidR="00650F35" w:rsidRPr="00D153BC" w:rsidRDefault="00650F35" w:rsidP="00D153BC">
    <w:pPr>
      <w:rPr>
        <w:sz w:val="12"/>
        <w:szCs w:val="12"/>
      </w:rPr>
    </w:pPr>
  </w:p>
  <w:p w14:paraId="2C777427" w14:textId="283D82B9" w:rsidR="00D66D1F" w:rsidRPr="00D153BC" w:rsidRDefault="00D66D1F" w:rsidP="00D66D1F">
    <w:pPr>
      <w:rPr>
        <w:sz w:val="12"/>
        <w:szCs w:val="12"/>
      </w:rPr>
    </w:pPr>
    <w:r w:rsidRPr="00D153BC">
      <w:rPr>
        <w:sz w:val="12"/>
        <w:szCs w:val="12"/>
      </w:rPr>
      <w:t xml:space="preserve">Udarbejdet af OLG Frank Østergaard Hansen </w:t>
    </w:r>
  </w:p>
  <w:p w14:paraId="7DAFCBBD" w14:textId="3FF31A86" w:rsidR="00D66D1F" w:rsidRPr="00D153BC" w:rsidRDefault="00D66D1F" w:rsidP="00D66D1F">
    <w:pPr>
      <w:rPr>
        <w:sz w:val="12"/>
        <w:szCs w:val="12"/>
      </w:rPr>
    </w:pPr>
    <w:r w:rsidRPr="00D153BC">
      <w:rPr>
        <w:sz w:val="12"/>
        <w:szCs w:val="12"/>
      </w:rPr>
      <w:t xml:space="preserve">Godkendt af GLG Susanne Bach Lausten </w:t>
    </w:r>
  </w:p>
  <w:p w14:paraId="4F6FFCAB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1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2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3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4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6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7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8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557086002">
    <w:abstractNumId w:val="7"/>
  </w:num>
  <w:num w:numId="2" w16cid:durableId="1116293991">
    <w:abstractNumId w:val="0"/>
  </w:num>
  <w:num w:numId="3" w16cid:durableId="46534007">
    <w:abstractNumId w:val="15"/>
  </w:num>
  <w:num w:numId="4" w16cid:durableId="51762656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34698324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38573728">
    <w:abstractNumId w:val="15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1890336886">
    <w:abstractNumId w:val="17"/>
  </w:num>
  <w:num w:numId="8" w16cid:durableId="106502776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41566755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45024275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85357103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148485519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141697934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25724960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1802727137">
    <w:abstractNumId w:val="1"/>
  </w:num>
  <w:num w:numId="16" w16cid:durableId="1158375435">
    <w:abstractNumId w:val="16"/>
  </w:num>
  <w:num w:numId="17" w16cid:durableId="96331378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1623477">
    <w:abstractNumId w:val="6"/>
  </w:num>
  <w:num w:numId="19" w16cid:durableId="2032998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85444">
    <w:abstractNumId w:val="9"/>
  </w:num>
  <w:num w:numId="21" w16cid:durableId="494345105">
    <w:abstractNumId w:val="14"/>
  </w:num>
  <w:num w:numId="22" w16cid:durableId="1526484308">
    <w:abstractNumId w:val="12"/>
  </w:num>
  <w:num w:numId="23" w16cid:durableId="1942949140">
    <w:abstractNumId w:val="5"/>
  </w:num>
  <w:num w:numId="24" w16cid:durableId="1778677029">
    <w:abstractNumId w:val="18"/>
  </w:num>
  <w:num w:numId="25" w16cid:durableId="107504814">
    <w:abstractNumId w:val="21"/>
  </w:num>
  <w:num w:numId="26" w16cid:durableId="1583369895">
    <w:abstractNumId w:val="2"/>
  </w:num>
  <w:num w:numId="27" w16cid:durableId="584848306">
    <w:abstractNumId w:val="19"/>
  </w:num>
  <w:num w:numId="28" w16cid:durableId="331302484">
    <w:abstractNumId w:val="4"/>
  </w:num>
  <w:num w:numId="29" w16cid:durableId="1713385341">
    <w:abstractNumId w:val="20"/>
  </w:num>
  <w:num w:numId="30" w16cid:durableId="342363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3167810">
    <w:abstractNumId w:val="8"/>
  </w:num>
  <w:num w:numId="32" w16cid:durableId="478116167">
    <w:abstractNumId w:val="10"/>
  </w:num>
  <w:num w:numId="33" w16cid:durableId="321274076">
    <w:abstractNumId w:val="13"/>
  </w:num>
  <w:num w:numId="34" w16cid:durableId="602998063">
    <w:abstractNumId w:val="11"/>
  </w:num>
  <w:num w:numId="35" w16cid:durableId="95906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17AE0"/>
    <w:rsid w:val="00022252"/>
    <w:rsid w:val="00023A4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B03D7"/>
    <w:rsid w:val="000B5FA6"/>
    <w:rsid w:val="000C05EB"/>
    <w:rsid w:val="000C1FA2"/>
    <w:rsid w:val="000D246C"/>
    <w:rsid w:val="000E192F"/>
    <w:rsid w:val="000E34E6"/>
    <w:rsid w:val="000E4405"/>
    <w:rsid w:val="000E7878"/>
    <w:rsid w:val="000F30A9"/>
    <w:rsid w:val="000F7DDD"/>
    <w:rsid w:val="00103DC7"/>
    <w:rsid w:val="00112745"/>
    <w:rsid w:val="00115108"/>
    <w:rsid w:val="0011525E"/>
    <w:rsid w:val="0011598C"/>
    <w:rsid w:val="0011620C"/>
    <w:rsid w:val="00132B15"/>
    <w:rsid w:val="00141153"/>
    <w:rsid w:val="00144CF2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1E"/>
    <w:rsid w:val="001A4ACC"/>
    <w:rsid w:val="001B2CA0"/>
    <w:rsid w:val="001B44F1"/>
    <w:rsid w:val="001D414B"/>
    <w:rsid w:val="001F38C6"/>
    <w:rsid w:val="001F5725"/>
    <w:rsid w:val="002020F0"/>
    <w:rsid w:val="00202EAF"/>
    <w:rsid w:val="0021610E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758D9"/>
    <w:rsid w:val="00292B42"/>
    <w:rsid w:val="002A503E"/>
    <w:rsid w:val="002A663E"/>
    <w:rsid w:val="002B00B0"/>
    <w:rsid w:val="002B2876"/>
    <w:rsid w:val="002B3ABA"/>
    <w:rsid w:val="002C626D"/>
    <w:rsid w:val="002D194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07FE3"/>
    <w:rsid w:val="003104ED"/>
    <w:rsid w:val="00313400"/>
    <w:rsid w:val="0031628D"/>
    <w:rsid w:val="00321F57"/>
    <w:rsid w:val="003255D0"/>
    <w:rsid w:val="00327E9C"/>
    <w:rsid w:val="00330A68"/>
    <w:rsid w:val="00334737"/>
    <w:rsid w:val="003419BA"/>
    <w:rsid w:val="003439DC"/>
    <w:rsid w:val="0034501F"/>
    <w:rsid w:val="003555D8"/>
    <w:rsid w:val="003611EA"/>
    <w:rsid w:val="0036651F"/>
    <w:rsid w:val="0037027C"/>
    <w:rsid w:val="003711A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32DE"/>
    <w:rsid w:val="003C5987"/>
    <w:rsid w:val="003C674A"/>
    <w:rsid w:val="003C7C73"/>
    <w:rsid w:val="003D1E7A"/>
    <w:rsid w:val="003D2377"/>
    <w:rsid w:val="003E11D2"/>
    <w:rsid w:val="003E1645"/>
    <w:rsid w:val="00430376"/>
    <w:rsid w:val="004432B3"/>
    <w:rsid w:val="00446ED5"/>
    <w:rsid w:val="00455766"/>
    <w:rsid w:val="004656C9"/>
    <w:rsid w:val="004660CA"/>
    <w:rsid w:val="00467B75"/>
    <w:rsid w:val="00471390"/>
    <w:rsid w:val="00473CFB"/>
    <w:rsid w:val="00480A97"/>
    <w:rsid w:val="00486690"/>
    <w:rsid w:val="00497402"/>
    <w:rsid w:val="004B19A8"/>
    <w:rsid w:val="004B238B"/>
    <w:rsid w:val="004B509F"/>
    <w:rsid w:val="004D732E"/>
    <w:rsid w:val="004E3A94"/>
    <w:rsid w:val="004E5A2F"/>
    <w:rsid w:val="004E5D7D"/>
    <w:rsid w:val="004F23A4"/>
    <w:rsid w:val="004F37D1"/>
    <w:rsid w:val="004F644F"/>
    <w:rsid w:val="00505B20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712DB"/>
    <w:rsid w:val="00580B25"/>
    <w:rsid w:val="005A048F"/>
    <w:rsid w:val="005B2D63"/>
    <w:rsid w:val="005C5341"/>
    <w:rsid w:val="005C5EBB"/>
    <w:rsid w:val="005C616A"/>
    <w:rsid w:val="005D5C34"/>
    <w:rsid w:val="005E2FF7"/>
    <w:rsid w:val="005F6E1D"/>
    <w:rsid w:val="006035DF"/>
    <w:rsid w:val="006077F1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50F35"/>
    <w:rsid w:val="006566C2"/>
    <w:rsid w:val="00681E58"/>
    <w:rsid w:val="00692080"/>
    <w:rsid w:val="0069274E"/>
    <w:rsid w:val="006934F0"/>
    <w:rsid w:val="006943F9"/>
    <w:rsid w:val="006A51F1"/>
    <w:rsid w:val="006B08C2"/>
    <w:rsid w:val="006B2BB5"/>
    <w:rsid w:val="006B32B0"/>
    <w:rsid w:val="006B55CA"/>
    <w:rsid w:val="006C5666"/>
    <w:rsid w:val="006C67DD"/>
    <w:rsid w:val="006D4152"/>
    <w:rsid w:val="006D65D6"/>
    <w:rsid w:val="006E6827"/>
    <w:rsid w:val="006F0C2C"/>
    <w:rsid w:val="006F415A"/>
    <w:rsid w:val="006F7B60"/>
    <w:rsid w:val="0070494A"/>
    <w:rsid w:val="00712E0E"/>
    <w:rsid w:val="007158B0"/>
    <w:rsid w:val="00724189"/>
    <w:rsid w:val="007364CE"/>
    <w:rsid w:val="007478B3"/>
    <w:rsid w:val="00763BAF"/>
    <w:rsid w:val="007658F7"/>
    <w:rsid w:val="00774D2D"/>
    <w:rsid w:val="0079207D"/>
    <w:rsid w:val="00795725"/>
    <w:rsid w:val="007A66CD"/>
    <w:rsid w:val="007A7AE4"/>
    <w:rsid w:val="007B20C5"/>
    <w:rsid w:val="007B7C50"/>
    <w:rsid w:val="007C2B5E"/>
    <w:rsid w:val="007C6906"/>
    <w:rsid w:val="007C7385"/>
    <w:rsid w:val="007C7E6F"/>
    <w:rsid w:val="007D0DAC"/>
    <w:rsid w:val="007D20C6"/>
    <w:rsid w:val="007D29D7"/>
    <w:rsid w:val="007E3493"/>
    <w:rsid w:val="00806C06"/>
    <w:rsid w:val="00807252"/>
    <w:rsid w:val="00811D32"/>
    <w:rsid w:val="00815018"/>
    <w:rsid w:val="00821B39"/>
    <w:rsid w:val="008343F2"/>
    <w:rsid w:val="00840DA6"/>
    <w:rsid w:val="008420AF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8580A"/>
    <w:rsid w:val="00894808"/>
    <w:rsid w:val="00895D41"/>
    <w:rsid w:val="008A3E44"/>
    <w:rsid w:val="008A67CE"/>
    <w:rsid w:val="008A6AB0"/>
    <w:rsid w:val="008B25D0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1000E"/>
    <w:rsid w:val="009266C4"/>
    <w:rsid w:val="00927F84"/>
    <w:rsid w:val="0093041B"/>
    <w:rsid w:val="00930E69"/>
    <w:rsid w:val="00932020"/>
    <w:rsid w:val="009349B4"/>
    <w:rsid w:val="00934B8F"/>
    <w:rsid w:val="009562F3"/>
    <w:rsid w:val="009631F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81A93"/>
    <w:rsid w:val="00A84D71"/>
    <w:rsid w:val="00A85871"/>
    <w:rsid w:val="00A8620F"/>
    <w:rsid w:val="00A93CD6"/>
    <w:rsid w:val="00A93E83"/>
    <w:rsid w:val="00AC1C0F"/>
    <w:rsid w:val="00AC4BA7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4AF2"/>
    <w:rsid w:val="00B11949"/>
    <w:rsid w:val="00B21E1E"/>
    <w:rsid w:val="00B232D4"/>
    <w:rsid w:val="00B26245"/>
    <w:rsid w:val="00B2668C"/>
    <w:rsid w:val="00B266C4"/>
    <w:rsid w:val="00B33E03"/>
    <w:rsid w:val="00B36A11"/>
    <w:rsid w:val="00B5306D"/>
    <w:rsid w:val="00B55098"/>
    <w:rsid w:val="00B600F2"/>
    <w:rsid w:val="00B64428"/>
    <w:rsid w:val="00B66EA8"/>
    <w:rsid w:val="00B71CA5"/>
    <w:rsid w:val="00B71F6A"/>
    <w:rsid w:val="00B90CB7"/>
    <w:rsid w:val="00B95130"/>
    <w:rsid w:val="00B95622"/>
    <w:rsid w:val="00BA4BEB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11ECB"/>
    <w:rsid w:val="00C237A0"/>
    <w:rsid w:val="00C248FB"/>
    <w:rsid w:val="00C32984"/>
    <w:rsid w:val="00C32DB0"/>
    <w:rsid w:val="00C41CA4"/>
    <w:rsid w:val="00C45CA6"/>
    <w:rsid w:val="00C54B72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E38F3"/>
    <w:rsid w:val="00CF05F5"/>
    <w:rsid w:val="00CF7F45"/>
    <w:rsid w:val="00D03BD0"/>
    <w:rsid w:val="00D03C8A"/>
    <w:rsid w:val="00D11907"/>
    <w:rsid w:val="00D153BC"/>
    <w:rsid w:val="00D213E7"/>
    <w:rsid w:val="00D25C5A"/>
    <w:rsid w:val="00D40225"/>
    <w:rsid w:val="00D44023"/>
    <w:rsid w:val="00D45424"/>
    <w:rsid w:val="00D46A9B"/>
    <w:rsid w:val="00D50976"/>
    <w:rsid w:val="00D5480D"/>
    <w:rsid w:val="00D62FCD"/>
    <w:rsid w:val="00D66D1F"/>
    <w:rsid w:val="00D72028"/>
    <w:rsid w:val="00D7207A"/>
    <w:rsid w:val="00D75CD4"/>
    <w:rsid w:val="00D84405"/>
    <w:rsid w:val="00D84E9D"/>
    <w:rsid w:val="00D90C39"/>
    <w:rsid w:val="00D94207"/>
    <w:rsid w:val="00D9664A"/>
    <w:rsid w:val="00DA17E0"/>
    <w:rsid w:val="00DA30B5"/>
    <w:rsid w:val="00DC015C"/>
    <w:rsid w:val="00DC5249"/>
    <w:rsid w:val="00DD6A13"/>
    <w:rsid w:val="00DE2770"/>
    <w:rsid w:val="00DE6602"/>
    <w:rsid w:val="00DF3CD0"/>
    <w:rsid w:val="00DF7F94"/>
    <w:rsid w:val="00E06FA3"/>
    <w:rsid w:val="00E1325A"/>
    <w:rsid w:val="00E213F0"/>
    <w:rsid w:val="00E2190E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A4E3C"/>
    <w:rsid w:val="00EA50BD"/>
    <w:rsid w:val="00EC24DB"/>
    <w:rsid w:val="00EC521B"/>
    <w:rsid w:val="00EC6462"/>
    <w:rsid w:val="00EE19D8"/>
    <w:rsid w:val="00EF095B"/>
    <w:rsid w:val="00EF271E"/>
    <w:rsid w:val="00F07922"/>
    <w:rsid w:val="00F12CFD"/>
    <w:rsid w:val="00F21C8B"/>
    <w:rsid w:val="00F22F0B"/>
    <w:rsid w:val="00F34C53"/>
    <w:rsid w:val="00F36C93"/>
    <w:rsid w:val="00F62293"/>
    <w:rsid w:val="00F62E58"/>
    <w:rsid w:val="00F65DA2"/>
    <w:rsid w:val="00F67D1E"/>
    <w:rsid w:val="00F732F6"/>
    <w:rsid w:val="00F769DE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C515F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CA5E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1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rrektur">
    <w:name w:val="Revision"/>
    <w:hidden/>
    <w:uiPriority w:val="99"/>
    <w:semiHidden/>
    <w:rsid w:val="00307FE3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7FE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7FE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7F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7FE3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b2439de8-cc44-444f-944a-fc00cced6827</TitusGUID>
  <TitusMetadata xmlns="">eyJucyI6ImZvcnN2YXJldC5maWluLmRrIiwicHJvcHMiOlt7Im4iOiJLbGFzc2lmaWthdGlvbiIsInZhbHMiOlt7InZhbHVlIjoiSUtLRSBLTEFTU0lGSUNFUkVUIn1dfSx7Im4iOiJNYWVya25pbmciLCJ2YWxzIjpbXX1dfQ==</TitusMetadata>
</titus>
</file>

<file path=customXml/itemProps1.xml><?xml version="1.0" encoding="utf-8"?>
<ds:datastoreItem xmlns:ds="http://schemas.openxmlformats.org/officeDocument/2006/customXml" ds:itemID="{667F92C8-81D9-4AD8-A06A-E2173C7FB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88E2F-A18C-4E0D-BFD5-B630F32BCC2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630</Words>
  <Characters>3951</Characters>
  <Application>Microsoft Office Word</Application>
  <DocSecurity>0</DocSecurity>
  <Lines>128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36</cp:revision>
  <dcterms:created xsi:type="dcterms:W3CDTF">2025-10-07T20:52:00Z</dcterms:created>
  <dcterms:modified xsi:type="dcterms:W3CDTF">2026-01-12T08:50:00Z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b2439de8-cc44-444f-944a-fc00cced6827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